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03.06.2021, оставленным без изменения постановлениями Девятого арбитражного апелляционного суда от 07.09.2021 и Арбитражного суда Московского округа от 23.12.2021,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выездной налоговой проверки в отношении общества на основании постановлений о производстве выемки, изъятия документов и предметов инспекцией проведена выемка документов и предметов в занимаемых обществом помещениях. По результатам проведения осмотра и выемки налоговым органом составлен протокол от 15.12.2020 № 1 о производстве выемки, изъятия документов и предметов. Ссылаясь на многочисленные процедурные нарушения, допущенные инспекцией в ходе проведения спорного мероприятия налогового контроля, общество обратилось в арбитражный суд с требованием о признании незаконными действий по производству выемки, изъятия документов и предметов, оформленных протоколом от 15.12.2020 № 1.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31, 80, 82, 89, 92, 94 Налогового кодекса Российской Федерации (далее - Налоговый кодекс), суды пришли к выводу об отсутствии оснований для удовлетворения требований. Судебные инстанции исходили из того, что действия налогового органа соответствуют требованиям Налогового кодекса и не нарушают прав и законных интересов общества. При исследовании обстоятельств дела не установлены факты наличия нарушений положений налогового законодательства при оформлении результатов выемки документов, а так же злоупотребления должностными лицами инспекции своими правами при осуществлении выемки документов. Обстоятельства дела и представленные доказательства были предметом рассмотрения судов. Доводы кассационной жалобы, в том числе об участии при непосредственном производстве выемки, изъятии документов из кабинетов общества лишь одного понятого; о незаконном проникновении сотрудников инспекции в кабинет адвоката; порочности составленного протокола выемки, не отражающего наименования и реквизитов всех изъятых у общества первичных документов, а также электронных документов; о том, что обществу не было предложено добровольно выдать подлежащие изъятию документы и предметы, не свидетельствуют о неправильном применении судами норм материального и процессуального права, повлиявшем на исход дела, являлись 3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«ПОС МЕДИА»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