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21.06.2021, оставленным без изменения постановлением Девятого арбитражного апелляционного суда от 24.08.2021 и постановлением Арбитражного суда Московского округа от 02.12.2021, требование признано обоснованным и включено в третью очередь реестра. В кассационной жалобе Становова З.А. просит об отмене судебных актов, ссылаясь на неправильное распределение бремени доказывания, отсутствие доказательств возникновения долга, недоказанность финансовой возможности кредитора приобрести требование к должнику, фактической оплаты договора цессии и экономической целесообразности сделки, аффилированность сторон уступки. В силу части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обоснованным требование кредитора как подтвержденное судебным актом и договором уступки и соответствующее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Имеющиеся по мнению управляющего пороки уступки опровергаются судебным актом по в делу № А14-9240/2013 и не препятствуют включению требования в реестр должника-гражданина.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Станововой З.А.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