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31.05.2021, оставленным без изменения постановлением Пятнадцатого арбитражного апелляционного суда от 20.08.2021 и постановлением Арбитражного суда Северо-Кавказского округа от 01.12.2021, первоначальный иск удовлетворен, в удовлетворении встречного иска отказано. В кассационной жалобе предприниматель просит об отмене судебных актов, ссылаясь на неполучение от грузоотправителя переадресовки в установленный законом срок и неприменение статьи 406 Гражданского кодекса Российской Федерации.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неисполнение обязательства предпринимателем по доставке груза и принятие им не соответствующего пункту 67 Правил перевозки грузов автомобильным транспортом решения о судьбе груза, поэтому обязали возместить стоимость груза в соответствии со статьями 15 , 393 , 785 , 796 Гражданского кодекса Российской Федерации и статьями 14, 34 Федерального закона от 08.11.2007 № 259-ФЗ «Устав автомобильного транспорта и городского наземного электрического транспорта» и отказали в возмещении расходов на его транспортировку к месту хранения и хранение.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ИП Степуро Александр Михайлович (подробнее) Иные лица: ООО "УралМехКомплект"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