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24.06.2021, оставленным без изменения постановлением Тринадцатого арбитражного апелляционного суда от 15.09.2021 и 2 постановлением Арбитражного суда Северо-Западного округа от 23.12.2021, в удовлетворении заявленных требований отказано. В кассационной жалобе, поданной в Верховный Суд Российской Федерации, Шабалина Т.П., ссылаясь на существенное нарушение судами норм права, просит судебные акты отменить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период с 17.05.2019 по 09.06.2020 общество состояло на налоговом учете в инспекции, в дальнейшем прекратило деятельность в результате добровольной ликвидации и исключено из Единого государственного реестра юридических лиц, о чем 09.06.2020 налоговым органом внесена соответствующая запись. Учредителем и генеральным директором общества в период с 19.10.2010 по 04.11.2019 являлась Шабалина Т.П., с 05.11.2019 пребывала в должности ликвидатора общества. После ликвидации общества Шабалиной Т.П. стало известно о том, что 27.05.2020 инспекцией принята уточненная налоговая декларация по НДС за IV квартал 2018 года (корректировка № 3) с нулевыми показателями, поданная от имени общества неустановленным лицом, в связи с чем налоговым органом обнулена выручка общества за указанный период и контрагентам доначислена сумма НДС, ранее принятая к вычету в соответствии с действующим налоговым законодательством. На заявление Шабалиной Т.П. об аннулировании данных налоговой декларации налоговым органом направлено письмо, в котором сообщено, что декларация подана представителем общества по доверенности, правовых оснований для отказа в ее приеме не имелось, полномочиями проводить экспертизу электронно-цифровой подписи, которой удостоверены сведения уточненной налоговой декларации, налоговый орган не наделен. Также инспекция уведомила заявителя об отсутствии возможности аннулировать декларацию по НДС. Решением управления жалоба Шабалиной Т.П. на действия (бездействия) должностных лиц инспекции оставлена без удовлетворения. 3 Считая свои права нарушенными, Шабалина Т.П. обратилась с заявлением в арбитражный суд. Отказывая в удовлетворении требований, суды, оценив представленные в материалы дела доказательства, руководствуясь положениями статей 23, 26, 29, 80, 81 Налогового кодекса Российской Федерации, статей 185, 185.1 Гражданского кодекса Российской Федерации, пунктами 19, 163, 164, 166 Административного регламента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взносах, законодательстве о налогах и сборах и принятых в соответствии с ним нормативных правовых актах, порядке исчисления и уплаты налогов, сборов и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а также по приему налоговых деклараций (расчетов), утвержденного приказом Федеральной налоговой службы от 08.07.2019 № ММВ-7-19/343, Порядком формирования и ведения информационного ресурса «Доверенность», утвержденным приказом Федеральной налоговой службы от 23.04.2010 № ММВ7-6/200@, пришли к выводу о том, что принятие инспекцией уточненной налоговой декларации совершено в полном соответствии с нормами законодательства о налогах и сборах и не затрагивают права и законные интересы заявителя. Судебные инстанции исходили из того, что уточненная налоговая декларация от 27.05.2020 подписана электронной подписью руководителя общества с ограниченной ответственностью «Финансы Бухгалтерия Учета» (далее – ООО «Финансы Бухгалтерия Учета») Петрова Сергея Владимировича (далее – Петров С.В.). Ранее в налоговый орган представлена доверенность от 25.05.2020, выданная ООО «Финансы Бухгалтерия Учета» в лице директора Петрова С.В. сроком на 3 месяца. Данная доверенность подписана законным представителем общества (Шабалиной Т.П.) и предоставляет указанному лицу полномочия представлять интересы в отношениях, регулируемых налоговым законодательством, направлять и подписывать налоговую и бухгалтерскую отчетность усиленной квалифицированной электронной подписью. Доказательств, опровергающих достоверность доверенности, не представлено, о ее фальсификации в ходе рассмотрения дела не заявлено. Вместе с тем судами отмечено, что в результате камеральной налоговой проверки спорной декларации нарушений налогового законодательства не выявлено, все налоги и сборы были оплачены обществом в полном объеме. Доводы, изложенные в кассационной жалобе, в том числе со ссылками на иную судебную практику, повторяют позицию общества по спору, не опровергают выводы судов, были предметом их рассмотрения и не подтверждают существенных нарушений норм материального и процессуального права, повлиявших на исход дела. 4 По существу доводы жалобы выражают несогласие с выводами судов ввиду ошибочного толкования заявителем положений законодательства к установленным фактическим обстоятельствам спора,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Шабалиной Татьяне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