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Логачёв Игорь Сергеевич обратился в суд с заявлением о признании недействительными заключенных между должником и акционерным обществом «Фроловский электросталеплавильный завод» (далее – завод) сделок: договора аренды от 23.01.2014 № 04/14-ВФ, договора аренды недвижимого имущества от 01.11.2013 № 162/13-ВФ, договора от 01.06.2015 № 51/15-ВФ, договора поставки металлолома от 28.05.2014 № 014/14-ВФ/А (далее – договор поставки) и договора аренды от 08.04.2014 № 53/14-ВФ; применении последствий недействительности сделок. Определением Арбитражного суда Ростовской области от 01.06.2021, оставленным без изменения постановлениями Пятнадцатого арбитражного апелляционного суда от 23.08.2021 и Арбитражного суда Северо-Кавказского округа от 07.12.2021, заявление удовлетворено в части признания недействительной сделкой договора поставки, применения последствий его недействительности. В удовлетворении остальной части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Исходя из доводов 2 кассационной жалобы, заявитель не согласен с обжалуемыми судебными актами в части удовлетворения требований конкурсного управляющего должником.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10, 168, 170 Гражданского кодекса Российской Федерации, статьями 2, 19 Федерального закона от 26.10.2002 № 127-ФЗ «О несостоятельности (банкротстве)», установив факт того, что оспариваемый договор являлся мнимой сделкой, заключенной в период подозрительности взаимозависимыми лицами лишь для вида, без намерений осуществить поставку продукции, а поступившие должнику денежные средства носили транзитный характер, признали оспариваемый договор недействительной (ничтожной) сделкой, правомерно применив последствия её недействительности. Отклоняя довод заявителя о том, что право требования к должнику приобретено им на торгах по результатам реализации в ходе банкротства завода его конкурсным управляющим права требования оплаты дебиторской задолженности, суд округа обоснованно указал, что данное обстоятельство по смыслу разъяснений, данных в пункте 1 информационного письма Президиума Высшего Арбитражного Суда Российской Федерации от 30.10.2007 № 120 «Обзор практики применения арбитражными судами положений главы 24 Гражданского кодекса Российской Федерации», пункте 8 постановления Пленума Верховного Суда Российской Федерации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влечёт за собой ответственность завода - цедента за неисполнение обязательств перед заявителем цессионарием, возникших из заключенного между ними договора уступки права требования (цессии).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не установлено. Несогласие заявителя с выводами судебных инстанций, основанными на установленных фактических обстоятельствах дела и оценке доказательств, 3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«Новоорловский горно-обогатительный комбинат»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