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фонд обратился в суд с заявлением о включении в реестр требований кредиторов должника (далее – реестр) 127 060 302 рубля 44 копейки, в том числе 89 129 989 рублей 06 копеек основного долга и 37 930 313 рублей 39 копеек процентов. Определением Арбитражного суда Вологодской области от 13.04.2021, оставленным без изменения постановлениями Четырнадцатого арбитражного апелляционного суда от 17.08.2021 и Арбитражного суда Северо-Западного округа от 06.12.2021, требование фонда в размере 83 308 830 рублей признано обоснованными и подлежащим удовлетворению в очерёдности, предшествующей распределению ликвидационной квоты.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Вологодской области в ином составе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статьями 2, 19, 71,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29.01.2020, исходили из того, что часть требования фонда, в отношении которого установлен факт наличия на стороне должника документально подтверждённой и непогашенной весельной задолженности, вытекало из предоставленного компенсационного финансирования должнику, не имевшему ресурсов для ведения нормальной хозяйственной деятельности, в связи с чем понизили её в очерёдности удовлетворения. Оставшаяся часть заявленного требования как основанная на ничтожном соглашении о выкупе векселей, правомерно оставлена судами без удовлетворения.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ИНБАП Закрытому Инвестиционному Фонду Непубличных Активов (INBAP Funduszem Inwestycyjnym Zamknietym Aktywow Niepublicznych)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