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30.03.2021 заявление общества удовлетворено. 2 Постановлением Восьмого арбитражного апелляционного суда от 14.07.2021 решение суда первой инстанции отменено, в удовлетворении заявления отказано. Арбитражный суд Западно-Сибирского округа постановлением от 30.11.2021 оставил без изменения постановление суда апелляционной инстанции. В кассационной жалобе, поданной в Верховный Суд Российской Федерации, общество ссылается на существенное нарушение судами норм права,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в отношении общества выездной налоговой проверки по вопросам правильности исчисления и своевременности уплаты (удержания, перечисления) налогов за период с 29.07.2016 по 31.12.2017 инспекцией принято оспариваемое решение, которым обществу, в том числе доначислен налог на прибыль за 2016-2017 годы в общей сумме 4 270 408 рублей, начислены соответствующие суммы пеней и штрафа. Доначисление оспариваемым решением инспекции налога на прибыль связано с выводом налогового органа о том, что проведенные обществом работы на арендованном объекте не могут быть отнесены к работам по капитальному ремонту, а являются реконструкцией, при этом общество неправомерно установило срок полезного использования объектов основных средств (модернизации) - один месяц, в связи с чем через месяц вся сумма затрат была списана посредством амортизации. 3 Решением Управления Федеральной налоговой службы по Омской области от 25.09.2020 № 16-22/14507 решение налогового органа оставлено без изменения. Удовлетворяя заявление общества, суд первой инстанции исходил из правомерности применения налогоплательщиком способа определения срока полезного использования (1 месяц). Принимая во внимание, что спорные объекты основных средств в рассматриваемом случае полностью амортизированы, а Налоговый кодекс Российской Федерации (далее - Налоговый кодекс) не регулирует порядок определения срока полезного использования основных средств, остаточная стоимость которых на момент проведения работ по модернизации равнялась нулю, что имеет место в настоящем случае, суд указал, что общество, руководствуясь пунктом 7 статьи 258 Налогового кодекса, правомерно установило для этих объектов основных средств новый срок полезного использования с учетом требований техники безопасности, и, что модернизация объектов не повлекла создания новых основных средств с измененными характеристиками. Отменяя решение суда первой инстанции, суд апелляционной инстанции,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253, 256, 257, 258, 272 Налогового кодекса, пришел к выводу о наличии у налогового органа правовых оснований для вынесения оспариваемого решения. Суд апелляционной инстанции исходил из того, что общество имело право посредством амортизации учесть затраты по капитальным вложениям в составе расходов по налогу на прибыль только в течение действия договоров аренды. При этом суд отметил, что если улучшения в арендованном имуществе имели вид достройки, дооборудования, реконструкции, модернизации, технического перевооружения, без получения встречного предоставления за произведенные в него капитальные вложения со стороны арендодателя, то расходы налогоплательщика могут быть учтены при налогообложении в течение срока действия договора аренды исходя из сумм амортизации, рассчитанных с учетом срока полезного использования, определяемого для арендованных объектов основных средств или для капитальных вложений в указанные объекты в соответствии с классификацией основных средств, утверждаемой Правительством Российской Федерации (абзац 6 пункта 1 статьи 258 Налогового кодекса). Суд округа поддержал выводы суда апелляционной инстанции. 4 Доводы, изложенные в кассационной жалобе, основаны на неверном толковании норм права, не опровергают выводы судов,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«ЗЖБИ № 7»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