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04.08.2021, оставленным без изменения постановлением Семнадцатого арбитражного апелляционного суда от 14.10.2021 и постановлением Арбитражного суда Уральского округа от 21.01.2022, заявление удовлетворено. В кассационной жалобе общество просит об отмене судебных актов, ссылаясь на неустановление необходимых для рассмотрения спора обстоятельств, недобросовестность финансового управляющего должника, н6еизвещение конкурсного управляющего общества о рассмотрении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оспариваемые сделки попадают под критерии, предусмотренные пунктом 2 статьи 61.3 Федерального закона «О несостоятельности (банкротстве)», наличие которых влечет их недействительность. Обжалуемые судебные акты соответствуют закону и имеющимся в деле доказательствам. Приведенные в рассматриваемой жалобе доводы о текущем характере платежей и неизвещении конкурсного управляющего общества о рассмотрении спора повторяют доводы, заявленные в судах нижестоящих инстанций и получившие их правовую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«Строительно-монтажное управление № 17»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