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Пензенской области от 01.07.2021, оставленным без изменения постановлением Одиннадцатого арбитражного апелляционного суда от 29.09.2021 и постановлением Арбитражного суда Поволжского округа от 29.11.2021, заявление удовлетворено. В кассационной жалобе общество просит об отмене судебных актов, ссылаясь на противоречие обстоятельствам совершения сделки выводов судов, нарушение пределов рассмотрения дела апелляционным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для признания данной сделки недействительной на основании статей 10, 170 Гражданского кодекса Российской Федерации как заключенной с целью вывода имущества из под взыскания посредством формальной передачи прав на него заинтересованному лицу с сохранением контроля над имуществом установлены судами. В рассматриваемом случае залогодержатель имущества не обращался за защитой прав, но будучи участником спора поддерживал позицию общества, поэтому их правоотношения по поводу имущества правомерно оценивались судами.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«Азиатский финансовый 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