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31.08.2021, оставленным без изменения постановлением Девятого арбитражного апелляционного суда от 19.10.2021 и постановлением Арбитражного суда Московского округа от 28.12.2021, в удовлетворении заявления отказано. В кассационной жалобе Фомкина Е.В. просит об отмене судебных актов, ссылаясь на наличие возможности признания права собственности на объект недвижимости в порядке приобретательной давности за одним из участников общей совместной собственности.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Отсутствие осуществления участником общей совместной собственности одного из правомочий собственника (пользования), которым обосновывается рассматриваемое заявление, не лишает его права собственности на имущество и не является основанием для приобретения другим участником единоличного права в порядке приобретательной давности, на что правильно указали суды. Иное толкование заявителем норм материального права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Фомкиной 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