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12.04.2021, оставленным без изменения постановлением Девятого арбитражного апелляционного суда от 28.06.2021 и постановлением Арбитражного суда Московского округа от 29.11.2021, в удовлетворении исковых требований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432, 455, 506, 516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исходя из недоказанности компанией факта поставки обществу товара и его принятия последним. С указанными выводами впоследствии согласился суд округа, не установив нарушений судами норм процессуального права.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Частной Компании с ограниченной ответственностью Ronico Trading B.V.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