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22.06.2021, оставленным без изменения постановлением Седьмого арбитражного апелляционного суда от 02.09.2021 и постановлением Арбитражного суда Западно-Сибирского округа от 07.12.2021, иск удовлетворен. В кассационной жалобе общество «КомТранс Сибирь» просит об отмене судебных актов, ссылаясь на отсутствие доказательств повреждения груза и неправомерность возложения ответственности за несохранную перевозку на ответчика.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Убытки в связи с повреждением груза возложены на ответчика по факту принятия груза к перевозке лицом, состоящим в договорных отношениях с ответчиком, и недоказанности обстоятельств, освобождающих экспедитора от ответственности за повреждение груза при перевозке в соответствии со статьями 15, 393, 801, 803, 805 Гражданского кодекса Российской Федерации, статьями 6, 7, 12 Федерального закона от 30.06.2003 № 87-ФЗ «О транспортно- экспедиционной деятельности» и их судебным толкованием. Вопросы доказывания и оценки доказательств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«КомТранс Сибирь»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