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«АВИРА» (далее - общество) обратилось в Арбитражный суд Воронежской области с иском к обществу с ограниченной ответственностью «ТРАНС СТРОЙ» (далее - компания) о взыскании 20 889 829 руб. 20 коп. неустойки за период с 11.11.2018 по 11.12.2019 по договору от 10.09.2018 № 32/09/18 (далее – договор). Определением Арбитражного суда Воронежской области от 25.01.2021 произведено процессуальное правопреемство по настоящему делу на стороне истца с общества на индивидуального предпринимателя Шуткина Станислава Николаевича (далее – предприниматель) в части требований о взыскании с компании 1 686 896 руб. 40 коп. неустойки по договору за период с 12.11.2019 по 11.12.2019. Решением Арбитражного суда Воронежской области от 28.04.2021, оставленным без изменения постановлением Девятнадцатого арбитражного апелляционного суда от 28.07.2021 и постановлением Арбитражного суда Центрального округа от 25.11.2021, в удовлетворении исковых требований 2 предпринимателя отказано; исковые требования общества удовлетворены частично, с компании в пользу общества взыскано 1 449 005 руб. неустойки, в остальной части требований отказано. В кассационной жалобе, поданной в Верховный Суд Российской Федерации, общество, полагая названные судебные акты незаконными, просит их отменить и принять новый судебный акт об удовлетворении иска. Компания в кассационной жалобе, ссылаясь на нарушение судами норм материального права,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действия сторон по его исполнению, учитывая обстоятельства, установленные вступившими в законную силу судебными актами по делу № А14-2980/2020, констатировав факт нарушения компанией обязательств по договору, определив период начисления неустойки и произведя ее перерасчет, принимая во внимание поведение общества, а также заявление компании о применении статьи 333 Гражданского кодекса Российской Федерации, руководствуясь статьями 10, 309, 310, 330, 404, 708, 740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инстанции пришли к выводу о наличии оснований для частичного удовлетворения иска. При этом суды отклонили заявление компании о пропуске обществом срока исковой давности, указав, что иск заявлен в пределах установленного срока. Суд округа поддержал выводы судов первой и апелляционной инстанций. Приведенные в кассационных жалобах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«АВИРА» и общества с ограниченной ответственностью «ТРАС 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