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«АВИРА» (далее - общество) обратилось в Арбитражный суд Воронежской области с иском к обществу с ограниченной ответственностью «ТРАНС СТРОЙ» (далее - компания) о взыскании 20 889 829 руб. 20 коп. неустойки за период с 11.11.2018 по 11.12.2019 по договору от 10.09.2018 № 32/09/18 (далее – договор). Определением Арбитражного суда Воронежской области от 25.01.2021 произведено процессуальное правопреемство по настоящему делу на стороне истца с общества на индивидуального предпринимателя ФИО1 (далее – предприниматель) в части требований о взыскании с компании 1 686 896 руб. 40 коп. неустойки по договору за период с 12.11.2019 по 11.12.2019. Решением Арбитражного суда Воронежской области от 28.04.2021, оставленным без изменения постановлением Девятнадцатого арбитражного апелляционного суда от 28.07.2021 и постановлением Арбитражного суда Центрального округа от 25.11.2021, в удовлетворении исковых требований предпринимателя отказано; исковые требования общества удовлетворены частично, с компании в пользу общества взыскано 1 449 005 руб. неустойки, в остальной части требований отказано. В кассационной жалобе, поданной в Верховный Суд Российской Федерации, общество, полагая названные судебные акты незаконными, просит их отменить и принять новый судебный акт об удовлетворении иска. Компания в кассационной жалобе, ссылаясь на нарушение судами норм материального права, просит отменить указанные судебные акты и принять новый судебный акт об отказе в удовлетворении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и действия сторон по его исполнению, учитывая обстоятельства, установленные вступившими в законную силу судебными актами по делу № А14-2980/2020, констатировав факт нарушения компанией обязательств по договору, определив период начисления неустойки и произведя ее перерасчет, принимая во внимание поведение общества, а также заявление компании о применении статьи 333 Гражданского кодекса Российской Федерации, руководствуясь статьями 10 , 309 , 310 , 330 , 404 , 708 , 740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инстанции пришли к выводу о наличии оснований для частичного удовлетворения иска. При этом суды отклонили заявление компании о пропуске обществом срока исковой давности, указав, что иск заявлен в пределах установленного срока. Суд округа поддержал выводы судов первой и апелляционной инстанций. Приведенные в кассационных жалобах доводы аналогичны доводам, ранее заявлявшимся в судах и получившим правовую оценку,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«АВИРА» и общества с ограниченной ответственностью «ТРАС 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Шуткин С.Н. (подробнее) ООО "АВИРА" (подробнее) Ответчики: ООО "Транс строй" (подробнее) Судьи дела: Чучунова Н.С.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