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15.03.2021 оставленным без изменения постановлением Восемнадцатого арбитражного апелляционного суда от 19.08.2021 и постановлением Арбитражного суда Уральского округа от 27.12.2021, заявление удовлетворено. В кассационной жалобе Лесняк И.В. просит об отмене судебных актов, ссылаясь на неустановление причинения вреда кредиторам должника, неотносимости к сделкам передачи прав по охотхозяйственному соглашению.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реорганизация опосредует передачу имущества общества «ГРИН» и должника как его участника, находящихся в банкротстве, и оспариваемые действия совершены заинтересованными лицами с целью вывода ликвидных активов общества, поэтому, руководствуясь статьями 61.2, 61.6 Федерального закона от 26.10.2002 № 127-ФЗ «О несостоятельности (банкротстве)», Федеральным законом от 08.02.1998 № 14-ФЗ «Об обществах с ограниченной ответственностью», статьями 10, 57, 58, 153, 167 Гражданского кодекса Российской Федерации, признали такую передачу недействительной.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Лесняку И.В.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