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(далее – реестр) его требования в размере 1 146 311 260 рублей 08 копеек. Определением Арбитражного суда Калининградской области от 04.08.2021 в удовлетворении заявления отказано. Постановлением Тринадцатого арбитражного апелляционного суда от 04.10.2021 данное определение отменено, требование общества в заявленном размере признано обоснованным и подлежащим включению в третью очередь реестра. Постановлением Арбитражного суда Северо-Западного округа от 12.01.2022 отменено постановление апелляционного суда от 04.10.2021, определение суда первой инстанции от 04.08.2021 оставлено в силе. В кассационной жалобе, поданной в Верховный Суд Российской Федерации, заявитель просит отменить названные определение суда первой инстанции и постановление суда округа, оставить в силе постановление апелляционного суда о включении заявленного требования в реестр.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первой инстанции и округа, руководствуясь статьями 19, 71, 100, 142 Федерального закона от 26.10.2002 № 127-ФЗ «О несостоятельности (банкротстве)», в отсутствие доказательств реальности хозяйственных правоотношений заинтересованных лиц по поставке нефтепродуктов, пришли к выводу об отсутствии оснований для признания заявленного требования обоснованным и включения его в реестр. Выводы судов первой инстанции и округа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«Форсайт»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