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26.04.2021, оставленным без изменения постановлением Девятого арбитражного апелляционного суда от 24.06.2021, в иске отказано. Постановлением Арбитражного суда Московского округа от 10.12.2021 указанные судебные акты оставлены без изменения. В кассационной жалобе, поданной в Верховный Суд Российской Федерации, учреждение просит отменить состоявшиеся по делу судебные акты, полагая их незаконными, необоснованными, вынесенными без учета фактических обстоятельств дела.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 в Российской Федерации», Правилами обязательного медицинского страхования, утвержденными приказом Минздрава России от 28.02.2019 № 108н, суды в иске отказали, признав, что в отсутствие решения о перераспределении объемов 3 предоставления медицинской помощи отказ в оплате медицинской помощи, оказанной с превышением объемов, является правомерным. Выводы судов не противоречат правовой позиции, изложенной в определении Верховного Суда Российской Федерации от 11.11.2021 № 308-ЭС21-5947. Иное толкование учреждением положений законодательства применительно к установленным фактическим обстоятельствам дела, изложенное в жалобе, не является основанием для отмены обжалуемых судебных актов в порядке кассационного производства. Доводов, подтверждающих существенные нарушения норм материального и (или) процессуального права в жалобе не содержится. Учитывая изложенное,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