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24.03.2021, оставленным без изменения постановлением Тринадцатого арбитражного апелляционного суда от 15.07.2021, иск удовлетворен. Постановлением Арбитражного суда Северо-Западного округа от 08.12.2021 указанные судебные акты оставлены без изменения. Общество «Интер Логистик» просит обжалуемые судебные акты отменить, считая их незаконными и необоснованными.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927, 929, 965 Гражданского кодекса Российской Федерации, суды удовлетворили иск, признав доказанным наличие совокупности условий, необходимых для возложения на ответчика ответственности в виде возмещения убытков. Доводы жалобы были предметом исследования судов и получили исчерпывающую правовую оценку в обжалуемых судебных актах, с учетом установленных обстоятельств, свидетельствующих о ненадлежащем исполнении ответчиком условий договора и выборе лиц, допустивших утрату груза, не согласиться с которой оснований не имеется. Выводы судов о соблюдении истцом срока исковой давности по заявленному требованию документально не опровергнуты с учетом наличия в материалах дела претензии от 22.04.2019.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3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