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17.06.2021 завершена процедура реализации имущества Сафроновой Светланы Владимировны и должник освобождена от дальнейшего исполнения требований кредиторов, в том числе не заявленных при реализации имущества гражданина. Постановлением Девятого арбитражного апелляционного суда от 12.10.2021 определение суда первой инстанции оставлено без изменения. Арбитражный суд Московского округа постановлением от 14.01.2022 указанные судебные акты оставил без изменения. Ильенкова Ольга Сергеевна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установив завершение всех мероприятий в процедуре реализации имущества гражданина, отсутствие конкурсной массы и невозможность ее пополнения для удовлетворения требований кредиторов, пришли к выводам, что данная процедура в отношении должника подлежит завершению и отсутствуют обстоятельства, препятствующие применению в отношении должника правила об освобождении от дальнейшего исполнения требований кредиторов, в том числе требований кредиторов, не заявленных при введении реализации имущества должника, не усмотрев в действиях должника противоправного поведения.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Ильенковой Ольге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