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Крашенинникова Сергея Николаевича публичное акционерное общество Банк ВТБ обратилось в Арбитражный суд Кемеровской области с заявлением, уточненным в порядке статьи 49 Арбитражного процессуального кодекса Российской Федерации, о включении в третью очередь реестра требований кредиторов должника требования в размере 480 477 рублей 26 копеек по кредитному договору от 14.06.2013 как обеспеченного залогом имущества должника и отдельном учете в реестре требований кредиторов требования о взыскании 1 865 192 рублей 44 копеек пени, подлежащего удовлетворению после погашения основной суммы задолженности и начисленных процентов. Определением Арбитражного суда Кемеровской области от 06.08.2021 заявление удовлетворено частично. В реестр требований кредиторов с отнесением в третью очередь включено требование в размере 480 477 рублей 26 копеек, отдельно учтено и признано подлежащими удовлетворению после погашения основной суммы задолженности и причитающихся процентов 2 требование в размере 1 244 197 рублей 65 копеек; в удовлетворении заявления в остальной части отказано. Постановлением Седьмого арбитражного апелляционного суда от 02.11.2021 определение суда первой инстанции оставлено без изменения. Арбитражный суд Западно-Сибирского округа постановлением от 19.01.2022 указанные судебные акты оставил без изменения. Крашенинникова Татьяна Петровна обратилась в Судебную коллегию Верховного Суда Российской Федерации с кассационной жалобой на принятые судебные акты в части удовлетворения требования о взыскании неустойки,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Исследовав и оценив представленные в материалы обособленного спора доказательства, руководствуясь положениями статьи 819 Гражданского кодекса Российской Федерации, статьями 16, 71, 100, 134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суды пришли к выводу о доказанности наличия и размера требования банка по кредитному договору, признали заявленное требование обоснованным и подлежащим включению в реестр требований кредиторов третьей очереди как обеспеченное залогом, исключив из расчета пени период принятия наследства должника, не установив оснований для снижения предъявленной к включению в реестр неустойки в порядке статьи 333 Гражданского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3 пересмотра судебных актов в кассационном порядке. По существу доводы жалобы основаны на ином толковании заявителем норм материального права,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Довод жалобы о необоснованном отказе суда первой инстанции в применении положений статьи 333 Гражданского кодекса Российской Федерации приводился в судах апелляционной и кассационной инстанций, был рассмотрен судами и мотивированно отклонен.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Крашенинниковой Татьяне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