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Зоркова Сергея Николаевича финансовый управляющий Садыков Антон Робертович обратился в Арбитражный суд Свердловской области с заявлением о признании недействительным договора дарения доли квартиры от 02.09.2020 № 1, заключенного должником с Зорковой Аленой Юрьевной, и применении последствий недействительности сделки. Определением Арбитражного суда Свердловской области от 19.02.2021 заявление удовлетворено, договор дарения признан недействительным, применены последствия недействительности сделки в виде обязания Зорковой А.Ю. вернуть в конкурсную массу должника 1/2 доли в праве собственности на жилое помещение. Постановлением Семнадцатого арбитражного апелляционного суда от 27.08.2021 определение суда первой инстанции оставлено без изменения. Арбитражный суд Уральского округа постановлением от 30.11.2021 указанные судебные акты оставил без изменения. 2 Зоркова Алена Юрьевна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В частности, суды установили, что сделка совершена в период неплатежеспособности должника, безвозмездно, в отношении заинтересованного лица, в целях вывода ликвидного имущества, в результате чего уменьшился размер имущества должника и причинен вред имущественным правам кредиторов. Доводы, изложенные в кассационной жалобе,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Зорковой Алене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