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Коми от 27.05.2021, оставленным без изменения постановлением Второго арбитражного апелляционного суда от 02.09.2021 и постановлением Арбитражного суда Волго-Вятского округа от 29.11.2021, заявление удовлетворено. В кассационной жалобе Степанова Н.Ю. просит об отмене судебных актов, ссылаясь на нарушение норм процессуального права при выделении рассматриваемого требования уполномоченного органа в отдельное производство, неподлежащие включению в конкурсную массу транспортные средства, неправильное применение норм об исковой давности и рассмотрение апелляционным судом заявления в ее отсутствие.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Арбитражный процессуальный кодекс Российской Федерации не предусматривает возможности обжалования определения о выделении требований в отдельное производство, однако не лишает участвующего в деле лица права на приведение этого довода при оспаривании судебного акта, которым заканчивается рассмотрение дела по существу, что не было реализовано заявительницей. Суды признали, что будучи совместной собственностью супругов транспортные средства подлежали включению в конкурсную массу должника, но вследствие продажи обратили в нее причитающиеся на долю должника денежные средства (статья 213.25, пункт 7 статьи 213.26 Федерального закона от 26.10.2002 № 127-ФЗ «О несостоятельности (банкротстве)». Включение доли должника в общем имуществе в конкурсную массу основано на законе, поэтому не связано с судьбой сделок купли-продажи транспортных средств, в том числе и по вопросу об исчислении срока исковой давности для предъявления рассматриваемого требования. Неявка извещенной заявительницы в заседание апелляционного не суда не препятствует рассмотрению дела в ее отсутствие и не влечет пересмотра принятого этим судом судебного акта.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Степановой Н.Ю.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