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21.04.2021, оставленным без изменения постановлением Девятого арбитражного апелляционного суда от 07.07.2021 и постановлением Арбитражного суда Московского округа от 30.11.2021, в удовлетворении искового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учреждением (заказчик) и обществом (подрядчик) заключен договор 10.02.2020 № 19/44фз на комплексное благоустройство территории района Рязанский по программе «Мой район». Согласно пункту 1.1 контракта подрядчик обязуется по заданию заказчика выполнить работы по комплексному благоустройству территории района Рязанский по программе «Мой район» в объеме, установленном в техническом задании, а заказчик обязуется принять результат выполненных работ и оплатить его в порядке и на условиях, предусмотренных контрактом. Сторонами 04.12.2020 подписан акт сдачи-приемки выполненных работ № 2, в соответствии с которым стоимость восстановления газона составила 5 127 893 рубля 97 копеек. При этом разница между сметной стоимостью и оплаченными работами по разделу «Восстановление газона» составила в сумме 2 237 840 рублей 75 копеек в связи с утверждением заказчиком в исполнительной смете толщины слоя плодородного грунта на 11 сантиметров вместо 20 сантиметров как предусмотрено сметной документацией. Считая, что сумма оплаты за выполненные работы занижена, общество направило учреждению претензию, неисполнение которой послужило основанием для обращения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учитывая разъяснения, изложенные в пункте 8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пришли к выводу об отсутствии оснований для удовлетворения искового заявления, с чем согласились суды апелляционной инстанции и округа. Судебные инстанции исходили из недоказанности обществом доказательств того, что выполнение дополнительных работ было связано с необходимостью немедленных действий в интересах заказчика, поскольку их приостановление могло привести к гибели или повреждению объекта строительства. Суды указали, что изменения в договор в части увеличения цены в установленном порядке не внесены, дополнительное соглашение к нему не заключено, истцом не представлено доказательств того, что со стороны заказчика имело место предложение об увеличении объема подлежащих выполнению работ по контракту, равно как и доказательств извещения подрядчиком заказчика о необходимости выполнения дополнительных работ, согласии заказчика на выполнение работ и их принятии. Доводы общества, изложенные в кассационной жалобе, являлись предметом рассмотрения судов и получили надлежащую правовую оценку, выражают несогласие с установленными фактическими обстоятельствами дела, направлены на их переоценку, не подтверждают существенных нарушений норм материального и процессуального права, повлиявших на исход дела, в связи с чем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«Торговая Строительная Компания САРМАД»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"ТОРГОВАЯ СТРОИТЕЛЬНАЯ КОМПАНИЯ САРМАД" (подробнее) Ответчики: ГОСУДАРСТВЕННОЕ БЮДЖЕТНОЕ УЧРЕЖДЕНИЕ ГОРОДА МОСКВЫ "ЖИЛИЩНИК РЯЗАНСКОГО РАЙОНА"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