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Брянской области от 12.04.2021, оставленным без изменения постановлением Двадцатого арбитражного апелляционного суда от 25.08.2021 и постановлением Арбитражного суда Центрального округа от 26.11.2021, в удовлетворении заявления отказано. 2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камеральной налоговой проверки представленной обществом 25.10.2019 налоговой декларации по налогу на добавленную стоимость (далее - НДС) за 3 квартал 2019 года инспекцией составлен акт от 10.02.2020 № 1517 и вынесены решения от 26.08.2020 № 919 об отказе в привлечении к ответственности за совершение налогового правонарушения, № 65 об отказе в возмещении НДС в размере 2 621 266 рублей. Основанием для отказа в возмещении налога послужил вывод налогового органа о необоснованном применении налоговых вычетов по налогу в размере 2 621 266 рублей, уплаченному таможенным органам при ввозе товаров на территорию Российской Федерации. Не согласившись с решениями налогового органа, общество обратилось в арбитражный суд. Отказывая в удовлетворении заявления, суды первой и апелляционной инстанций, исследовав и оценив представленные в материалы дела доказательства, руководствуясь положениями Налогового кодекса Российской Федерации, учитывая разъяснения, изложенные в постановлении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пришли к выводу о том, что ненормативные правовые акты инспекции соответствуют положениям действующего законодательства, не нарушают права и законные интересы общества, с чем согласился суд округа. 3 Судебные инстанции исходили из отсутствия реальности хозяйственных операций по поставке товаров в адрес контрагентов и перемещения товара к покупателям, использования ввезенного товара в операциях, подлежащих налогообложению НДС. Суды также отметили, что у заявителя отсутствовали основные средства, необходимые для осуществления заявленной деятельности; среднесписочная численность в 2016 году составляла 6 человек, в 2017 году – 1; с 01.07.2017 финансово-хозяйственную деятельность общество фактически не осуществляло, с 3 квартала 2017 года представляло налоговые декларации по НДС с «нулевыми» показателями; расчетные операции по уплате НДС таможенным органам по ввезенной продукции осуществлялись за счет денежных средств, полученных в качестве займов от руководителя общества, при этом данные займы в полном объеме не погашены. Обществом не представлены документы по технологическому процессу изготовления (переработки) продукции, а так же документы по формированию в части списания и естественной убыли при изготовлении продукции. Доводы, изложенные в кассационной жалобе, в том числе о реальности хозяйственных операций, являлись предметом рассмотрения судов трех инстанций,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«Центр делового сотрудничества «Строй Сервис»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