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13.06.2021, оставленным без изменения постановлением Седьмого арбитражного апелляционного суда от 16.08.2021 и постановлением Арбитражного суда Западно-Сибирского округа от 02.12.2021, заявление удовлетворено. В кассационной жалобе Лукьянец Н.Ф. просит об отмене судебных актов, ссылаясь на пропуск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соглашение от 17.11.2014 признано недействительным судом общей юрисдикции по общегражданским основаниям (статьи 10, 168, 170 Гражданского кодекса Российской Федерации). В отношении рассматриваемого требования о последствиях ничтожной сделки, предъявленного не участвовавшим в ней лицом, срок исковой давности исчислен судом по правилу пункта 1 статьи 181 Гражданского кодекса.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Лукьянец Надежде Федоровне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