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24.02.2021, оставленным без изменения постановлением Тринадцатого арбитражного апелляционного суда от 24.06.2021 и постановлением Арбитражного суда Северо-Западного округа от 02.12.2021,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по делу новый судебный акт об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Разрешая спор и отказывая в удовлетворении иска, суды первой и апелляционной инстанций, с которыми впоследствии согласился суд округа, руководствовались статьями 196, 199, 200, 313 Гражданского кодекса Российской Федерации 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исходили того, что обществом пропущен срок исковой давности по заявленным требованиям, за исключением платежа от 21.07.2017 по платежному поручению № 693 на сумму 413 993 руб. 07 коп., оснований для взыскания которой не установлено. Выводы судов подробно мотивированы в обжалуемых судебных актах.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3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«Эксклюзив СПб»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