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14.05.2021 заявленные требования удовлетворены. Постановлением Пятого арбитражного апелляционного суда от 29.07.2021 решение суда первой инстанции отменено, в удовлетворении заявленных требований отказано. Арбитражный суд Дальневосточного округа постановлением от 08.12.2021 оставил без изменения постановление суда апелляционной инстанции. Общество обратилось в Верховный Суд Российской Федерации с кассационной жалобой, в которой просит отменить судебные акты судов апелляционной и кассационной инстанций,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3 Основания для пересмотра судебных актов в кассационном порядке по доводам жалобы отсутствуют. Повторно оценив представленные в материалы дела доказательства в их совокупности и взаимосвязи, руководствуясь положениями статей 21, 23, 32, 78, 79, 286, 287, 289 Налогового кодекса Российской Федерации, учитывая правовые позиции, изложенные в постановлениях Президиума Высшего Арбитражного Суда Российской Федерации от 25.02.2009 № 12882/08, от 28.06.2011 № 17750/10, определении Верховного Суда Российской Федерации от 03.09.2015 № 306-КГ15-6527, суд апелляционной инстанции пришел к выводу о том, что требования общества удовлетворению не подлежат в связи с пропуском последним трехлетнего срока на зачет (возврат) сумм излишне уплаченного налога, в том числе, в судебном порядке, с чем согласился суд округа. Кроме того, судами отмечено, что в материалах дела имеется акт совместной сверки расчетов по налогам, сборам, пеням, штрафам и процентам от 14.04.2015 № 52328, составленный с участием представителя общества, в котором отражены сведения об имеющейся у налогоплательщика переплаты по указанному налогу. При изучении доводов кассационной жалобы усматривается их тождественность доводам, заявляемым обществом в судах апелляционной и кассационной инстанций, которым дана надлежащая правовая оценка. Приведенные в жалобе доводы не могут быть признаны основанием для пересмотра в кассационном порядке оспариваемых судебных актов, поскольку фактически сводятся к несогласию с выводами судов по обстоятельствам дела.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