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23.06.2021, оставленным без изменения постановлением Одиннадцатого арбитражного апелляционного суда от 23.08.2021, в удовлетворении заявленных требований отказано. Арбитражный суд Поволжского округа постановлением от 02.12.2021 оставил без изменения принятые судебные акты. Общество обратилось в Верховный Суд Российской Федерации с кассационной жалобой, в которой просит отменить судебные акты,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Частью 2 статьи 7.29.2 КоАП РФ предусмотрена административная ответственность за отказ или уклонение поставщика (исполнителя, подрядчика), занимающего в соответствии с законодательством Российской Федерации в сфере государственного оборонного заказа доминирующее положение, от заключения договора, необходимого для выполнения 3 государственного оборонного заказа, если заключение такого договора является обязательным для указанного лица. Оценив представленные доказательства, руководствуясь положениями Федерального закона № 275-ФЗ от 29.12.2012 «О государственном оборонном заказе», установив, что общество, занимающее доминирующее положение, является соисполнителем по государственным контрактам в рамках государственного оборонного заказа и единственным поставщиком комплектующих в соответствии с конструкторской документацией, суды пришли к выводу о наличии в действиях общества состава правонарушения, ответственность за совершение которого предусмотрена частью 2 статьи 7.29.2 КоАП РФ. Процедура и срок давности привлечения к ответственности соблюдены. Оснований для применения статьи 2.9 КоАП РФ не установлено. Доводы жалобы были предметом исследования судов и получили исчерпывающую правовую оценку применительно к вмененному правонарушению и порядку привлечения к административной ответственности, не согласиться с которой оснований не имеется. Указанные доводы сводятся к несогласию общества с установленными судами фактическими обстоятельствами дела, оценкой доказательств, иному толкованию положений действующего законодательства,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Нарушений норм процессуального права судом первой инстанции не допущено. Доводы заявителя об обратном противоречат положениям статей 123, 156, 163 Арбитражного процессуального кодекса Российской Федерации, с учетом разъяснений, изложенных в пункте 13 постановления Пленума Высшего Арбитражного Суда Российской Федерации от 25.12.2013 № 99 «О процессуальных сроках».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