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12.08.2019, оставленным без изменения постановлением Пятого арбитражного апелляционного суда от 15.10.2019, иск удовлетворен частично. Постановлением Арбитражного суда Дальневосточного округа от 29.01.2020 решение и постановление апелляционного суда отменены, дело направлено на новое рассмотрение в Арбитражный суд Приморского края. В кассационной жалобе общество просит отменить судебные акты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кассационной жалобы в отношении решения и постановления апелляционной инстанции беспредметны, поскольку судебные акты отменены окружным судом. Изложенные в жалобе доводы общество вправе заявить при новом рассмотрении дела.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«Инлун»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БЮДЖЕТНОЕ УЧРЕЖДЕНИЕ "МОРСКАЯ СПАСАТЕЛЬНАЯ СЛУЖБА РОСМОРРЕЧФЛОТА" (подробнее) Ответчики: ООО "ИНЛУН" (подробнее) Иные лица: Межрегиональная "Дальневосточная Ассоциация морских капитанов" (подробнее) эксперт Чепцов Николай Романович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