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27.07.2021, оставленными без изменения постановлениями Девятого арбитражного апелляционного суда от 24.09.2021 и Арбитражного суда Московского округа от 29.12.2021, в удовлетворении иска отказано. В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электронного аукциона, признанного несостоявшимся, ООО «ПРОТСНАБ» и учреждения (заказчики) заключили контракты на поставку смеси белковой композитной сухой (далее - СБКС). 3 В обоснование иска общество ссылается на то, что при подготовке извещения о проведении открытого аукциона в электронной форме, а также аукционной документации были нарушены требования антимонопольного законодательства и законодательства о контрактной системе. Исследовав и оценив представленные в материалы дела доказательства,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26.07.2006 № 135-ФЗ «О защите конкуренции», правовой позицией, изложенной в Информационном письме Президиума Высшего Арбитражного Суда Российской Федерации от 22.12.2005 № 101 «Обзор практики разрешения арбитражными судами дел, связанных с признанием недействительными публичных торгов, проводимых в рамках исполнительного производства», суды пришли к выводу об отсутствии оснований для удовлетворения иска. Судебные инстанции исходили из того, что при проведении аукциона не было допущено нарушений, являющихся основанием для признания его недействительным. При исследовании обстоятельств дела установлено отсутствие доказательств, подтверждающих, что нарушение правил проведения торгов привело к снижению круга потенциальных участников торгов, а также сведений, свидетельствующих о наличии конкретных потенциальных покупателей, для которых допущенное при проведении торгов нарушение явилось препятствием к участию в торгах. Принимая во внимание, что общество не принимало участия в аукционе, заявку на участие в аукционе не подавало, в связи с чем пришли к выводу о том, что содержание аукционной документации не могло повлиять на права или обязанности заявителя или каким-либо иным образом нарушить его законные интересы, а признание оспариваемых торгов недействительными не приведет к восстановлению прав и имущественных интересов общества. Доводы заявителя, изложенные в кассационной жалобе о нарушениях, допущенных при проведении спорного аукциона, которые повлияли на возможность участия в аукционе и доступу к торгам потенциальных производителей СБКС; о недопустимости включения в аукционную документацию спорных требований, являлись предметом рассмотрения судов трех инстанций и получили надлежащую правовую оценку с учетом установленных по делу обстоятельств. По существу доводы общества повторяют его позицию по спору, не опровергают выводы судов, не подтверждают существенных нарушений норм 4 материального права и норм процессуального права, повлиявших на исход дела, основаны на ином толковании норм права,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«ШЕЛДОНФАРМА»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