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Васильева Дениса Николаевича должник обратился в Арбитражный суд Тюменской области с заявлением об исключении из конкурсной массы должника 1/4 доли в общей долевой собственности на квартиру, расположенную по адресу: город Сургут, улица Маяковского, дом 7, квартира 113. Определением Арбитражного Тюменской области от 26.05.2021 в удовлетворении заявления отказано. Постановлением Восьмого арбитражного апелляционного суда от 16.08.2021 определение суда первой инстанции оставлено без изменения. Арбитражный суд Западно-Сибирского округа постановлением от 06.12.2021 указанные судебные акты оставил без изменения. Васильев Денис Николаевич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заявления, суды руководствовались положениями статьи 213.25 Федерального закона от 26.10.2002 № 127-ФЗ «О несостоятельности (банкротстве)», статьей 446 Гражданского процессуального кодекса Российской Федерации, разъяснениями, изложенными в пункте 3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фактических обстоятельств дела, установив, что должник в спорной квартире не проживает, снят с регистрационного учета по адресу нахождения квартиры, интерес в данной квартире как в помещении для проживания у должника отсутствует.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Васильеву Денису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