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31.03.2021, оставленным без изменения постановлением Тринадцатого арбитражного апелляционного суда от 16.09.2021 и постановлением Арбитражного суда Северо-Западного округа от 23.12.2021, в удовлетворении иска отказано. 2 В кассационной жалобе общество «Балттеплострой» просит об отмене судебных актов, ссылаясь на невозможность несения последствий утраты предмета лизинга не его вине.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последствия утраты предмета лизинга согласованы сторонами в генеральном соглашении, не отвечающем условиям недействительности сделок в силу статьи 168 Гражданского кодекса Российской Федерации, поэтому подлежащем исполнению. Риск утраты предмета лизинга в период нахождения его в пользовании истца возложен на истца и обстоятельства, в связи с которыми обязательство прекращается в силу закона (глава 26 Гражданского кодекса), отсутствуют. В рассматриваемом случае ответственность не является предметом спора, поэтому довод о вине либо отсутствии вины в неисполнении обязательства (статья 401 Гражданского кодекса) не влияет на существо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«Балттеплострой»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