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ФИО3 обратилась в суд с заявлением о включении в реестр требований кредиторов должника её требования в размере 533 003 068 рублей 76 копеек. Определением Арбитражного суда города Москвы от 04.04.2019, оставленным без изменения постановлениями Девятого арбитражного апелляционного суда от 13.06.2019 и Арбитражного суда Московского округа от 24.09.2019, требование признано обоснованным и включено в третью очередь реестра.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 , 361 , 363 Гражданского кодекса Российской Федерации, статей 19, 32, 71, 100 Федерального закона от 26.10.2002 № 127-ФЗ «О несостоятельности (банкротстве)», позицией, изложенной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реальности передачи и расходования денежных средств сторонами заёмных отношений, хоть и являющихся заинтересованными лицами, однако раскрывших разумные экономические обоснования совершенных ими сделок, направленных на погашение реально существующих обязательств перед банком и не повлекших за собой причинения вреда кредиторам.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Айви Банк в лице к/у ГК АСВ (подробнее) ИФНС №22 по г. Москве (подробнее) Комитет лесного хозяйства Московской области (подробнее) НП "МЦАУ" (подробнее) ООО ПИР Банк (подробнее) Иные лица: Волоколамский отдел Загса Московской области (подробнее) Кирово-Чепецкого межрайонного отдела ЗАГС (подробнее) Компания "Вестиго Холдингз Лимитед" (Company "Vestigo Holdingz Limited") (подробнее) Компания "ХАРТНЕЛЛ ЛТД" (Company "Hartnell LTD") (подробнее) Кутукова П (подробнее) Судьи дела: Корнелюк Е.С. (судья) (подробнее) Последние документы по делу: Определение от 28 мая 2021 г. по делу № А40-56312/2017 Определение от 13 июля 2020 г. по делу № А40-56312/2017 Определение от 20 мая 2020 г. по делу № А40-56312/2017 Определение от 13 января 2020 г. по делу № А40-56312/2017 Показать все документы по этому делу Судебная практика по: Злоупотребление правом Судебная практика по применению нормы ст. 10 ГК РФ Поручительство Судебная практика по применению норм ст. 361, 363, 367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