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18.02.2021, оставленным без изменения постановлением Четвертого арбитражного апелляционного суда от 01.07.2021, в иске отказано. Постановлением Арбитражного суда Восточно-Сибирского округа от 30.11.2021 указанные судебные акты оставлены без изменения. Общество «Ингосстрах» просит обжалуемые судебные акты отменить, считая их незаконными и необоснованными. 2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15, 927, 929, 965 Гражданского кодекса Российской Федерации, суды в иске отказали, признав недоказанным наличие вины второго участника дорожно-транспортного происшествия. Доводы жалобы относительно недостоверности заключения судебной экспертизы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Непривлечение страховщика по полису ОСАГО к участию в деле в качестве третьего лица при отсутствии жалобы указанного лица само по себе не может служить основанием для отмены судебных актов.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