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02.06.2021, оставленным без изменения постановлением Пятого арбитражного апелляционного суда от 24.08.2021, иск удовлетворен. 2 Постановлением Арбитражного суда Дальневосточного округа от 02.12.2021 названные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нарушение судами норм материального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450, 708, 715, 758, 763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признав, что исполнитель не имел возможности выполнить работы в предусмотренные договором сроки в связи с получением согласованного генерального плана по объекту только 30.11.2020, пришли к выводу о незаконности решения от 02.12.2020 об одностороннем отказе заказчика от исполнения контракта от 31.07.2020 № 22.5/2020-1418. Доводы жалобы были предметом исследования судов и мотивированно отклонены, направлены на переоценку доказательств и установление иных фактических обстоятельств дела,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Ссылка на судебную практику по другим делам не свидетельствует о нарушении судами единообразия в толковании и применении норм права с учетом конкретных обстоятельств настоящего дела.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3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