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25.06.2021, оставленным без изменения постановлением Первого арбитражного апелляционного суда от 07.09.2021, иск удовлетворен, с ответчика в пользу истца взыскано 3 352 012 рублей 80 копеек долга и 173 380 рублей 20 копеек пеней, начисленных с 08.09.2020 по 18.06.2021, и далее с 19.06.2021 по день фактической оплаты долга. Постановлением Арбитражного суда Волго-Вятского округа от 21.12.2021 указанные судебные акты оставлены без изменения. Учреждение обратилось в Верховный Суд Российской Федерации с кассационной жалобой, в которой просит отменить судебные акты в части взыскания неустойки.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309, 310, 329, 330, 516, 525, 526 Гражданского кодекса Российской Федерации, суды удовлетворили иск, признав учреждение нарушившим обязательства по оплате поставленного обществом по контракту товара, не выявив при этом несоразмерности суммы заявленной неустойки последствиям нарушения обязательства. Доводы жалобы повторяют позицию учреждения по делу, являлись предметом рассмотрения судов и получили исчерпывающую правовую оценку с учетом конкретных установленных обстоятельств, связанных с отсутствием оснований для применения статьи 333 Гражданского кодекса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3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