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07.05.2021, оставленным без изменения постановлениями Семнадцатого арбитражного апелляционного суда от 05.08.2021 и Арбитражного суда Уральского округа от 02.12.2021, в удовлетворении иска отказано. В кассационной жалобе, поданной в Верховный Суд Российской Федерации, общество ставит вопрос об отмене принятых по делу судебных актов, ссылаясь на существенное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учреждением (заказчик) и обществом (поставщик) заключен государственный контракт на поставку анализатора пыли в атмосферном воздухе для автоматической станции контроля за загрязнением атмосферного воздуха для города Нижний Тагил в рамках реализации регионального проекта «Чистый воздух Свердловской области» Национального проекта «Экология». В связи с тем, что предлагаемый анализатор пыли не отвечал основным требованиям, указанным в техническом задании (спецификации) к контракту, заказчик принял решение об одностороннем отказе от исполнения контракта. Полагая, что односторонний отказ заказчика от контракта до наступления срока поставки является незаконным, поставщик обратился в арбитражный суд с иском о взыскании убытков. Оценив представленные в материалы дела доказательства, суды, руководствуясь положениями статей 15, 393, 456, 469, 506, 523, 526 Гражданского кодекса Российской Федерации, статьи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правовой позицией, изложенной в пункте 5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пришли к выводу об отсутствии совокупности условий для привлечения ответчика к гражданско-правовой ответственности в виде возмещения убытков. Судебные инстанции признали законным односторонний отказ учреждения от контракта, установив, что основанием для расторжения контракта послужило несоответствие товара условиям контракта, указанным в техническом задании (спецификации), в отсутствие доказательств, что несоответствие товара является устранимым, и недостатки могут быть устранены в установленные контрактом сроки. Кроме того, суды отметили, что в ходе рассмотрения спора сторонами не было заявлено ходатайство о назначении судебной экспертизы в целях определения соответствия товара. 3 Поскольку односторонний отказ учреждения от исполнения контракта отвечает нормам действующего законодательства, что исключает противоправность в поведении заказчика, суды, указав на недоказанность причинения обществу убытков, отказали в удовлетворении иска. Принимая во внимание установленные обстоятельства, приведенные в жалобе доводы, не свидетельствуют о существенных нарушениях судами норм материального и процессуального права, повлиявших на исход дела. Возражения заявителя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производстве, в связи с чем не могут служить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«Бюро управления инновационными проектами»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