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31.05.2021, оставленным без изменения постановлением Пятнадцатого арбитражного апелляционного суда от 08.09.2021 и постановлением Арбитражного суда Северо-Кавказского округа от 22.12.2022,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заявленные требования мотивированы существенным нарушением положений налогового законодательства при процедуре принудительного взыскания недоимки. В частности, общество указывает на неправомерное восстановление списанной (сторнированной) задолженности по налогам, сборам, пеням, начисленным по решению Управления Федеральной налоговой службы по Ростовской области (далее – управление) от 30.06.2017 № 15-15/2368, на основании постановления Арбитражного суда Северо-Кавказского округа от 19.07.2020 по делу № А53-31479/2018, поскольку законодательство о налогах и сборах не содержит положений, устанавливающих в качестве основания изменения налоговых обязанностей судебный акт. Отказывая в удовлетворении заявленных требований, суды трех инстанций, руководствуясь положениями статьи 289 Арбитражного процессуального кодекса Российской Федерации, статей 46, 47, 69, 76 Налогового кодекса Российской Федерации, разъяснениями, изложенными в пункте 54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пришли к выводу о наличии у инспекции правовых оснований для внесения изменений в карточку расчетов с бюджетом 3 налогоплательщика с момента вступления в силу решения суда об отказе в удовлетворении требований заявителя о признании недействительным решения управления от 30.06.2017 № 15-15/2368. Вместе с тем суды отметили, что взыскание и списание денежных средств в период действия обеспечительных мер не производилось, денежные средства зачтены инспекцией в счет уплаты текущей задолженности по налогу на добавленную стоимость. При этом произведенные списания средств в рамках требований, выставленных налоговым органом, не свидетельствуют о применении налоговым органом мер по принудительному взысканию недоимки в период действия обеспечительных мер, поскольку данные требования содержат сведения о задолженности, не относящейся к спорному решению управления. Доказательств того, что одновременное применение двух процедур принудительного взыскания привело к повторному изъятию одних и тех же сумм в уплату одинаковых налогов и за одни и те же налоговые периоды обществом не представлено. Доводы, изложенные в кассационной жалобе, в том числе относительно нарушений процедуры принудительного взыскания недоимки,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по существу, выражают несогласие с оценкой доказательств и выводами судов по фактическим обстоятельствам дела, основаны на ошибочном применении к ним положений законодательства,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«Кордон»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