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01.06.2021 завершена процедура реализации имущества гражданина Ворошева Романа Рудольфовича и должник освобожден от дальнейшего исполнения требований кредиторов, в том числе не заявленных в рамках данного дела, за исключением требований кредиторов, предусмотренных пунктами 4-6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вынесения определения о завершении реализации имущества гражданина. Постановлением Шестнадцатого арбитражного апелляционного суда от 11.10.2021 определение суда первой инстанции оставлено без изменения. Арбитражный суд Северо-Кавказского округа постановлением от 17.12.2021 указанные судебные акты оставил без изменения. Салмин Игорь Алексеевич обратился в Судебную коллегию Верховного Суда Российской Федерации с кассационной жалобой на принятые судебные 2 акты в части применения правила об освобождении должника от дальнейшего исполнения требований кредиторов,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42,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по делу не установлено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недобросовестного поведения и признаков преднамеренного или фиктивного банкротства не выявлено.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Салмину Игорю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