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25.06.2021, оставленным без изменения постановлениями Семнадцатого арбитражного апелляционного суда от 24.09.2021 и Арбитражного суда Уральского округа от 12.01.2022, заявление учреждения удовлетворено. В кассационной жалобе управление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внеплановой проверки учреждения во вопросам предоставления и использования субсидий, предоставленных из федерального бюджета на реализацию мероприятий по содействию создания новых мест в общеобразовательных учреждениях в рамках государственной программы Российской Федерации «Развитие образования» вынесено представление. Основанием для вынесения представления в обжалуемой части послужили выводы управления о допущенном учреждением нецелевом использовании бюджетных средств в виде принятия и оплаты фактически невыполненных видов и объемов работ по актам о приемке выполненных работ формы КС-2, а также затрат на возведение временных зданий и сооружений при отсутствии документов, фиксирующих виды и объемы фактически выполненных работ. Исследовав и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Методикой определения стоимости строительной продукции на территории Российской Федерации (МДС-81-35.2004), утвержденной постановлением Госстроя России от 05.03.2004 № 15/1, Требованиями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требований, предъявляемых к актам освидетельствования работ, конструкций, участков сетей инженерно-технического обеспечения, утвержденными приказом Ростехнадзора от 26.12.2006 № 1128, суды пришли к выводу о наличии оснований для признания оспариваемого пункта представления недействительным. Судебные инстанции исходили из отсутствия нарушения бюджетного законодательства в действиях (бездействии) учреждения. При исследовании обстоятельств дела установлено, что примененные расчеты в сметной документации соответствуют сметным нормативам, 3 физическим объемам работ и проектной документации; выполнение спорных работ по контракту подтверждено; действия учреждения при строительстве средней общеобразовательной школы соответствуют закону. Доводы, изложенные в кассационной жалобе, в том числе со ссылками на иную судебную практику, повторяют позицию управления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дела, не свидетельствуют о допущенной при рассмотрении дела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