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21.05.2021, оставленным без изменения постановлениями Семнадцатого арбитражного апелляционного суда от 17.08.2021 и Арбитражного суда Уральского округа от 02.12.2021, исковые требования удовлетворены. В кассационной жалобе, поданной в Верховный Суд Российской Федерации, общество ставит вопрос об отмене принятых по делу судебных актов, ссылаясь на существенное нарушение норм права, несоответствие выводов судов фактическим обстоятельствам дела.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2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следует из судебных актов, учреждением (заказчик) и обществом (поставщик) заключен договор на поставку мяса. Ссылаясь на поставку товара ненадлежащего качества, учреждение обратилось в арбитражный суд с требованиями о расторжении договора и взыскании штрафа. Исследовав и оценив представленные в материалы дела доказательства, суды, руководствуясь положениями статей 309, 310, 330, 450, 475, 506, 516, 518, 523 Гражданского кодекса Российской Федерации, пришли к выводу о наличии оснований для удовлетворения иска. Судебные инстанции исходили из доказанности факта поставки обществом товара с существенным нарушением требований к его качеству. При исследовании обстоятельств дела установлено, что обществом неоднократно поставлен учреждению товар ненадлежащего качества. Принимая во внимание, что поставщиком были нарушены условия поставки товара, что привело к расторжению договора, суды признали наличие оснований для привлечения общества к гражданско-правовой ответственности в виде взыскания штрафа. Доводы общества, в том числе о нарушении учреждением порядка приемки поставленного товара, регламентированного условиями договора; об отсутствии доказательств направления уведомления о вызове представителя общества для участия в проверке качества поставленного товара; доказательств того, что Карнаухов Ю.В. уполномочен и действует от имени поставщика; об отсутствии у приемочной комиссии заказчика полномочий на составление рекламационного акта; о несоразмерности размера штрафа являлись предметом рассмотрения судов, получили надлежащую правовую оценку с учетом установленных обстоятельств дела и мотивированно отклонены, сводятся к несогласию с установленными судами фактическими обстоятельствами дела и направлены на их переоценку, не подтверждают существенные нарушения норм материального и (или) процессуального права, которые могли повлиять на исход дела. Несогласие заявителя с выводами судов, иная оценка им фактических обстоятельств дела, не означают допущенной при рассмотрении дела судебной ошибки и в силу статьи 291.6 Арбитражного процессуального кодекса Российской Федерации не являются основанием для передачи жалобы на 3 рассмотрение в судебном заседании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«ЛАБИРИНТ»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