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компания обратилась в суд с заявлением о включении в реестр требований кредиторов должника (далее – реестр) задолженности в размере 103 362 305 рублей 62 копейки. Определением Арбитражного суда Астраханской области от 06.07.2021, оставленным без изменения постановлениями Двенадцатого арбитражного апелляционного суда от 16.09.2021 и Арбитражного суда Поволжского округа от 06.12.2021, заявление оставлено без рассмотрения.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Оставляя заявление компании без рассмотрения, суды, руководствуясь частью 2 статьи 148 Арбитражного процессуального кодекса Российской Федерации, пунктами 2, 3 статьи 61.6, пунктом 1 статьи 142 Федерального закона от 26.10.2002 № 127-ФЗ «О несостоятельности (банкротстве)», пунктами 26, 27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того, что на момент его рассмотрения судебный акт о возврате денежных средств в конкурсную массу исполнен не был и права на предъявление восстановленного требования не возникло. Суды также учитывали, что компания не лишена возможности предъявить своё восстановленное требование после устранения обстоятельств, послуживших основанием для оставления заявления без рассмотрения.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компании Manchester Shipping Limited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