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(далее – реестр) 20 840 000 рублей неосновательного обогащения, 3 457 471 рубль 67 копеек процентов за пользование чужими денежными средствами. Определением Арбитражного суда Республики Татарстан от 21.06.2021, оставленным без изменения постановлением Одиннадцатого арбитражного апелляционного суда от 01.10.2021, заявление удовлетворено. Постановлением Арбитражного суда Поволжского округа от 16.12.2021 данные судебные акты отменены, дело направлено на новое рассмотрение в Арбитражный суд Республики Татарстан.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дело на новое рассмотрение, суд округа руководствовался статьями 71, 100, 142 Федерального закона от 26.10.2002 № 127-ФЗ «О несостоятельности (банкротстве)», пунктом 19 постановления Пленума Верховного Суда Российской Федерации от 11.06.2020 № 6 «О некоторых вопросах применения положений Гражданского кодекса Российской Федерации о прекращении обязательств» и исходил из того, что содержащиеся в них выводы основаны на неполном выяснении фактических и имеющих существенное значение для дела обстоятельств.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и (или) норм процессуального права, которые бы повлияли на исход судебного разбирательства, судом округа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«М-Сервис»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