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вступлении в дело о банкротстве должника, признании обоснованным и включении в третью очередь реестра требований кредиторов должника (далее – реестр) 13 189 395 рублей 95 копеек. Определением Арбитражного суда Саратовской области от 19.12.2019, оставленным без изменения постановлением Двенадцатого арбитражного апелляционного суда от 09.12.2020, заявление удовлетворено. Постановлением Арбитражного суда Поволжского округа от 15.04.2021 данные судебные акты отменены, обособленный спор направлен на новое рассмотрение в Арбитражный суд Саратовской области. При новом рассмотрении определением Арбитражного суда Саратовской области от 13.07.2021, оставленным без изменения постановлениями Двенадцатого арбитражного апелляционного суда от 13.09.2021 и постановление Арбитражного суда Поволжского округа от 06.12.2021, требование признано обоснованным, подлежащим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названные судебные акты и направить 2 вопрос включения в реестр его требования на новое рассмотрение в Арбитражный суд Саратовской области. Исходя из доводов кассационной жалобы, заявитель не согласен с обжалуемыми судебными актами судов в части понижения очерёдности удовлетворения его требования.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19, 100, 142 Федерального закона от 26.10.2002 № 127-ФЗ «О несостоятельности (банкротстве)», Обзором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утверждённым Президиумом Верховного Суда Российской Федерации 29.01.2020, исходили из того, что спорное требование представляет собой компенсационное финансирование, предоставленное заинтересованным лицом должнику в ситуации нахождения в имущественном кризисе путём длительного (на протяжении трёх лет) невостребования долга в разумный срок, в связи с чем очерёдность его удовлетворения подлежит понижению. Выводы судов в обжалуемой части соответствуют нормам права, оснований для переоценки выводов судов по доводам жалобы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«Ситиматик»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