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правопредшественник заявителя Фахретдинова Таскира Закуановна обратилась в суд с заявлением о признании недействительной сделкой соглашения о прекращении взаимных обязательств от 29.12.2016, оформленного зачётом встречных однородных требований между должником и Силиным Николаем Ивановичем; применении последствий недействительности сделки в виде возврата в конкурсную массу должника квартиры, расположенной по адресу: город Сургут, улица Энтузиастов, дом 17, квартира 8. Определением Арбитражного суда Ханты-Мансийского автономного округа – Югры от 22.12.2019, оставленным без изменения постановлениями Восьмого арбитражного апелляционного суда от 07.06.2021 и Арбитражного суда Западно-Сибирского округа от 29.11.2021,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181, 199 Гражданского кодекса Российской Федерации, статями 61.2, 61.4 Федерального закона от 26.10.2002 № 127-ФЗ «О несостоятельности (банкротстве)», установив, что имущественная сфера должника не претерпела каких-либо негативных последствий, пришли к выводу о недоказанности наличия причин для удовлетворения заявления. Суды также исходили из пропуска обратившимся с заявлением лицом срока исковой давности, что явилось самостоятельным основанием для отказа в удовлетворении заявленных требований.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Фахретдинову Марату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