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«СТРОИТЕЛЬНАЯ ЛИГА» (далее - общество) обратилось в Арбитражный суд Смоленской области с иском к обществу с ограниченной ответственностью «СИБСТРОЙТРАНС» (далее - компания) о взыскании 629 070 руб. неосновательного обогащения и процентов за пользование чужими денежными средствами, начисленных за период с 10.04.2018 по 07.07.2020, в размере 90 261 руб. 74 коп. с их последующим начислением с 08.07.2020 по день фактического исполнения решения суда. Решением Арбитражного суда Смоленской области от 20.10.2020, оставленным без изменения постановлением Двадцатого арбитражного апелляционного суда от 10.03.2021, с компании в пользу общества взыскано 629 070 руб. неосновательного обогащения, 49 515,83 руб. процентов за пользование чужими денежными средствами, начисленных за период с 26.04.2019 по 07.07.2020 с начислением процентов по день фактической оплаты долга; в удовлетворении остальной части требований отказано. 2 Компания обратилась в Арбитражный суд Смоленской области с заявлением о пересмотре решения суда от 20.10.2020 по вновь открывшимся обстоятельствам. Решением Арбитражного суда Смоленской области от 31.05.2021, оставленным без изменения постановлением Двадцатого арбитражного апелляционного суда от 06.09.2021, решение суда от 20.10.2020 отменено по вновь открывшимся обстоятельствам отказано. Постановлением Арбитражного суда Центрального округа от 29.11.2021 решение от 31.05.2021 и постановление от 06.09.2021 отменены, в удовлетворении заявления компании о пересмотре решения от 20.10.2020 отказано. В кассационной жалобе, поданной в Верховный Суд Российской Федерации, компания, ссылаясь на нарушение судом округа норм права, просит отменить постановление от 29.11.2021 и оставить в силе решение суда первой инстанции от 31.05.2021, постановление суда апелляционной инстанции от 06.09.2021.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состоявшегося по делу судебного акта и доводов кассационной жалобы не установлено. Отменяя судебные акты судов первой и апелляционной инстанций и отказывая в удовлетворении заявления компании, суд округа, руководствуясь положениями статей 309, 311 Арбитражного процессуального кодекса Российской Федерации, разъяснениями, изложенными в пунктах 3, 4,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 из того, что приведенные заявителем обстоятельства не являются вновь открывшимися, влекущими отмену ранее принятого по делу судебного акта. Изложенные в кассационной жалобе доводы не подтверждают существенных нарушений норм права и не могут служить основанием 3 для пересмотра судебных актов в порядке кассационного производства Судебной коллегией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«СИБСТРОЙТРАНС»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