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марта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18.05.2021, оставленным без изменения постановлением Девятого арбитражного апелляционного суда от 19.08.2021 и постановлением Арбитражного суда Московского округа от 29.11.2021, производство по делу в части требования о взыскании задолженности прекращено в связи с отказом компании от иска; с общества в пользу компании взыскано 3 546 067 руб. 53 коп. процентов за пользование коммерческим кредитом. В кассационной жалобе, поданной в Верховный Суд Российской Федерации, общество, ссылаясь на нарушение судами норм материального и процессуального права, просит отменить указанные судебные акты и принять по делу новый судебный акт об отказе в удовлетворении заявленных требований. 2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обжалуемых судебных актов и доводов кассационной жалобы не установлено. Исследовав и оценив по правилам статьи 71 Арбитражного процессуального кодекса Российской Федерации представленные в материалы дела доказательства, установив факт ненадлежащего исполнения обществом (покупатель) обязательств по оплате товара, поставленного компанией (поставщик) в рамках заключенного договора поставки, наличие на стороне общества обусловленной условиями договора обязанности по выплате процентов за пользование коммерческим кредитом, руководствуясь статьями 307, 314, 327.1, 431, 434, 438, 506, 516, 809, 823 Гражданского кодекса Российской Федерации, суды первой и апелляционной инстанций признали требование истца обоснованным. Суд округа поддержал выводы судов первой и апелляционной инстанций. Доводы кассационной жалобы не подтверждают существенных нарушений судами норм материального и процессуального права, повлиявших на исход дела, и не являются достаточным основанием для пересмотра обжалуемых судебных актов в кассационном порядке. По существу они направлены на переоценку установленных фактических обстоятельств, что не входит в полномочия суда при кассационном производстве. Принимая во внимание изложенное и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«Первый Дом»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