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«Таурус» (на основании договора цессии) обратилось в Арбитражный суд города Москвы с иском о взыскании с акционерного общества «ВТБ Лизинг» 800 000 рублей неосновательного обогащения и 53 737 рублей 48 копеек процентов за пользование чужими денежными средствами на основании статьи 395 Гражданского кодекса Российской Федерации.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«Континент» (лизингополучатель). Решением Арбитражного суда города Москвы от 23.03.2021 в удовлетворении иска отказано. Постановлением Девятого арбитражного апелляционного суда от 14.10.2021 решение суда первой инстанции оставлено без изменения. Арбитражный суд Московского округа постановлением от 14.01.2022 указанные судебные акты оставил без изменения. 2 Общество с ограниченной ответственностью «Таурус»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665, 669, 1102 Гражданского кодекса Российской Федерации, статьями 2, 22, 28 Федерального закона от 29.10.1998 № 164-ФЗ «О финансовой аренде (лизинге)», установив, что предмет лизинга утрачен, лизингодатель получил страховое возмещение, определение завершающей договорной обязанности сторон осуществлено по условиям пункта 12.8.3 Правил лизинга, сложившееся сальдо встречных обязательств в пользу лизингополучателя составило 198 344 рубля 85 копеек, ответчик (лизингодатель) осуществил взаиморасчеты с лизингополучателем в полном объеме, суды пришли к выводу об отсутствии оснований для удовлетворения иска. Доводы, изложенные в кассационной жалобе, были предметом рассмотрения судов.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«Таурус»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