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Санкт-Петербурга и Ленинградской области от 16.06.2021, оставленным без изменения постановлением Тринадцатого арбитражного апелляционного суда от 08.09.2021 и постановлением Арбитражного суда Северо-Западного округа от 10.12.2021, с общества в пользу предпринимателя взыскано 7202 руб. 49 коп. процентов за пользование чужими денежными средствами за период с 09.11.2018 по 17.12.2018, в удовлетворении остальной части иска отказано. В кассационной жалобе, поданной в Верховный Суд Российской Федерации, предприниматель, ссылаясь на незаконность указанных судебных актов, просит их отменить и принять новый судебный акт об удовлетворении иска.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Руководствуясь статьями 15, 395 Гражданского кодекса Российской Федерации, разъяснениями, изложенными в пункте 57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принимая во внимание вступившее в законную силу решение Всеволожского городского суда Ленинградской области от 03.10.2018 по делу № 2-1685/2018,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пришли к выводу о наличии оснований для частичного удовлетворения иска ввиду ошибочного определения истцом периода начисления процентов за пользование чужими денежными средствами.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Глущенко Елены Николаевны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