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горда Москвы от 09.06.2021, оставленным без изменения постановлением Девятого арбитражного апелляционного суда от 03.09.2021 и постановлением Арбитражного суда Московского округа от 09.12.2021, иск удовлетворен. В кассационной жалобе общество «КЕС» просит об отмене судебных актов, ссылаясь на неустановление действительной стоимости понесенных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имевшийся отказ заказчика (ответчика) от договора, суды правомерно признали подлежащими оплате оказанные до него услуги и удовлетворили иск в силу статей 395, 779, 781 Гражданского кодекса Российской Федерации. Доводы заявителя опровергаются установленными обстоятельствами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